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Пан Тюльпан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D                                   A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1.Пришла весна - растаял лёд,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G                       D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И птичка каждая поёт,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D                           A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И травка стала прорастать,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G                             D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Зовет нас солнышко гулять!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F#                   Hm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И с нетерпением мы ждём,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A                         D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Когда же пробудится он,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G                            D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Пробьются из земли ростки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G                          A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И распахнуться лепестки…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      D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*Пан Тюльпан - до чего красив!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  Hm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Пан Тюльпан - радостный мотив!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   A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Пан Тюльпан - краски разные,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  G                       A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Пан Тюльпан - будем праздновать!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i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2.Кто видит, как тюльпан цветёт,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Тот в жизни счастье обретёт.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И люди смотрят на бутон,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Но расцветать не хочет он!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Водичкой ты его полей,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Своей улыбкою согрей,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Тогда счастливым станешь ты,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И зацветут вокруг цветы!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**Пан Тюльпан - до чего красив!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Пан Тюльпан - радостный мотив!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Пан Тюльпан - краски разные,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12529"/>
          <w:highlight w:val="white"/>
          <w:rtl w:val="0"/>
        </w:rPr>
        <w:t xml:space="preserve">Пан Тюльпан - будем счастливы!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